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56A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72B60BF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一、本项目招标人为海氏海诺健康科技股份有限公司，项目资金来自企业自有资金，出资比例为100%。该项目已具备招标条件，现对本项目进行公开招标。</w:t>
      </w:r>
    </w:p>
    <w:p w14:paraId="4CF6E2D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二、项目名称：海氏海诺大健康产业园东区</w:t>
      </w:r>
      <w:r>
        <w:rPr>
          <w:rFonts w:hint="eastAsia" w:ascii="宋体" w:hAnsi="宋体" w:eastAsia="宋体" w:cs="宋体"/>
          <w:sz w:val="24"/>
          <w:szCs w:val="24"/>
          <w:lang w:val="en-US" w:eastAsia="zh-CN"/>
        </w:rPr>
        <w:t>玻璃</w:t>
      </w:r>
      <w:r>
        <w:rPr>
          <w:rFonts w:hint="eastAsia" w:ascii="宋体" w:hAnsi="宋体" w:eastAsia="宋体" w:cs="宋体"/>
          <w:sz w:val="24"/>
          <w:szCs w:val="24"/>
        </w:rPr>
        <w:t>采购项目</w:t>
      </w:r>
    </w:p>
    <w:p w14:paraId="36685A2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三、招标范围及要求：本次招标共设</w:t>
      </w:r>
      <w:r>
        <w:rPr>
          <w:rFonts w:hint="eastAsia" w:ascii="宋体" w:hAnsi="宋体" w:eastAsia="宋体" w:cs="宋体"/>
          <w:sz w:val="24"/>
          <w:szCs w:val="24"/>
          <w:lang w:val="en-US" w:eastAsia="zh-CN"/>
        </w:rPr>
        <w:t>1</w:t>
      </w:r>
      <w:r>
        <w:rPr>
          <w:rFonts w:hint="eastAsia" w:ascii="宋体" w:hAnsi="宋体" w:eastAsia="宋体" w:cs="宋体"/>
          <w:sz w:val="24"/>
          <w:szCs w:val="24"/>
        </w:rPr>
        <w:t>个标段。</w:t>
      </w:r>
      <w:bookmarkStart w:id="0" w:name="_GoBack"/>
      <w:bookmarkEnd w:id="0"/>
    </w:p>
    <w:p w14:paraId="5C571EB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四、本清单为预计工程用量，具体数量以采购人的实际合同为准。</w:t>
      </w:r>
    </w:p>
    <w:p w14:paraId="15418A0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五、投标人单位要求</w:t>
      </w:r>
    </w:p>
    <w:p w14:paraId="0E58EF9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1、在中华人民共和国境内注册,具有一般纳税人资格的企业法人；</w:t>
      </w:r>
    </w:p>
    <w:p w14:paraId="04EBF41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2、具有良好的银行资信和商业信誉，无被责令停产、财产被接收、冻结及破产状态；</w:t>
      </w:r>
    </w:p>
    <w:p w14:paraId="6AFF920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3、投标人需提供有效的三证合一的营业执照(副本)，并要有同类物资的生产加工或销售的经营（或生产）范围；</w:t>
      </w:r>
    </w:p>
    <w:p w14:paraId="6991426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4、本次招标不接受联合体投标；</w:t>
      </w:r>
    </w:p>
    <w:p w14:paraId="04AD1DA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投标人未被“信用中国”网站（www.creditchina.gov.cn）、中国政府采购网（www.ccgp.gov.cn）列入失信被执行人名单（政府采购项目需承诺未列入重大税收违法案件当事人名单与政府采购严重违法失信行为记录名单）；</w:t>
      </w:r>
    </w:p>
    <w:p w14:paraId="00570D9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6、法律法规对合格投标人的其他要求、规定。</w:t>
      </w:r>
    </w:p>
    <w:p w14:paraId="26B0709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六、招标方式：■公开招标 </w:t>
      </w:r>
      <w:r>
        <w:rPr>
          <w:rFonts w:hint="eastAsia" w:ascii="宋体" w:hAnsi="宋体" w:eastAsia="宋体" w:cs="宋体"/>
          <w:sz w:val="24"/>
          <w:szCs w:val="24"/>
          <w:lang w:eastAsia="zh-CN"/>
        </w:rPr>
        <w:t>□</w:t>
      </w:r>
      <w:r>
        <w:rPr>
          <w:rFonts w:hint="eastAsia" w:ascii="宋体" w:hAnsi="宋体" w:eastAsia="宋体" w:cs="宋体"/>
          <w:sz w:val="24"/>
          <w:szCs w:val="24"/>
        </w:rPr>
        <w:t>邀请招标 □公开+邀请招标 □其他招标方式：</w:t>
      </w:r>
    </w:p>
    <w:p w14:paraId="59DBD61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七、投标保证金：无</w:t>
      </w:r>
    </w:p>
    <w:p w14:paraId="61B180B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八、报名及招标文件领取</w:t>
      </w:r>
    </w:p>
    <w:p w14:paraId="71A4653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投标单位可根据招标公告信息或接到邀请电话后，即可联系招标方领取</w:t>
      </w:r>
    </w:p>
    <w:p w14:paraId="4ACCD72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九、投标文件的递交</w:t>
      </w:r>
    </w:p>
    <w:p w14:paraId="2F671F6E">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1.纸质版投标文件要求密封，在封口处加盖单位公章，并</w:t>
      </w:r>
      <w:r>
        <w:rPr>
          <w:rFonts w:hint="eastAsia" w:ascii="宋体" w:hAnsi="宋体" w:eastAsia="宋体" w:cs="宋体"/>
          <w:sz w:val="24"/>
          <w:szCs w:val="24"/>
          <w:lang w:val="en-US" w:eastAsia="zh-CN"/>
        </w:rPr>
        <w:t>邮递至以下地址</w:t>
      </w:r>
    </w:p>
    <w:p w14:paraId="7FB8AA26">
      <w:pPr>
        <w:adjustRightInd w:val="0"/>
        <w:snapToGrid w:val="0"/>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山东青岛莱西市姜山湿地大道，海诺新工业园西区 采购部 战工</w:t>
      </w:r>
    </w:p>
    <w:p w14:paraId="222D8924">
      <w:pPr>
        <w:adjustRightInd w:val="0"/>
        <w:snapToGrid w:val="0"/>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2.投标文件递交截至时间：</w:t>
      </w:r>
      <w:r>
        <w:rPr>
          <w:rFonts w:hint="eastAsia" w:ascii="宋体" w:hAnsi="宋体" w:eastAsia="宋体" w:cs="宋体"/>
          <w:sz w:val="24"/>
          <w:szCs w:val="24"/>
          <w:u w:val="single"/>
        </w:rPr>
        <w:t xml:space="preserve"> 2026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07</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03</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r>
        <w:rPr>
          <w:rFonts w:hint="eastAsia" w:ascii="宋体" w:hAnsi="宋体" w:eastAsia="宋体" w:cs="宋体"/>
          <w:sz w:val="24"/>
          <w:szCs w:val="24"/>
          <w:lang w:val="en-US" w:eastAsia="zh-CN"/>
        </w:rPr>
        <w:t>下</w:t>
      </w:r>
      <w:r>
        <w:rPr>
          <w:rFonts w:hint="eastAsia" w:ascii="宋体" w:hAnsi="宋体" w:eastAsia="宋体" w:cs="宋体"/>
          <w:sz w:val="24"/>
          <w:szCs w:val="24"/>
        </w:rPr>
        <w:t>午</w:t>
      </w:r>
      <w:r>
        <w:rPr>
          <w:rFonts w:hint="eastAsia" w:ascii="宋体" w:hAnsi="宋体" w:eastAsia="宋体" w:cs="宋体"/>
          <w:sz w:val="24"/>
          <w:szCs w:val="24"/>
          <w:u w:val="single"/>
        </w:rPr>
        <w:t xml:space="preserve"> 1</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 xml:space="preserve"> </w:t>
      </w:r>
      <w:r>
        <w:rPr>
          <w:rFonts w:hint="eastAsia" w:ascii="宋体" w:hAnsi="宋体" w:eastAsia="宋体" w:cs="宋体"/>
          <w:sz w:val="24"/>
          <w:szCs w:val="24"/>
        </w:rPr>
        <w:t>点整。</w:t>
      </w:r>
    </w:p>
    <w:p w14:paraId="4FE76BA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十、联系方式：战</w:t>
      </w:r>
      <w:r>
        <w:rPr>
          <w:rFonts w:hint="eastAsia" w:ascii="宋体" w:hAnsi="宋体" w:eastAsia="宋体" w:cs="宋体"/>
          <w:sz w:val="24"/>
          <w:szCs w:val="24"/>
          <w:lang w:val="en-US" w:eastAsia="zh-CN"/>
        </w:rPr>
        <w:t>工</w:t>
      </w:r>
      <w:r>
        <w:rPr>
          <w:rFonts w:hint="eastAsia" w:ascii="宋体" w:hAnsi="宋体" w:eastAsia="宋体" w:cs="宋体"/>
          <w:sz w:val="24"/>
          <w:szCs w:val="24"/>
        </w:rPr>
        <w:t>17561678910</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牟</w:t>
      </w:r>
      <w:r>
        <w:rPr>
          <w:rFonts w:hint="eastAsia" w:ascii="宋体" w:hAnsi="宋体" w:eastAsia="宋体" w:cs="宋体"/>
          <w:sz w:val="24"/>
          <w:szCs w:val="24"/>
          <w:lang w:val="en-US" w:eastAsia="zh-CN"/>
        </w:rPr>
        <w:t>工</w:t>
      </w:r>
      <w:r>
        <w:rPr>
          <w:rFonts w:hint="eastAsia" w:ascii="宋体" w:hAnsi="宋体" w:eastAsia="宋体" w:cs="宋体"/>
          <w:sz w:val="24"/>
          <w:szCs w:val="24"/>
        </w:rPr>
        <w:t xml:space="preserve">18766395559 </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 </w:t>
      </w:r>
      <w:r>
        <w:rPr>
          <w:rFonts w:hint="eastAsia" w:ascii="宋体" w:hAnsi="宋体" w:eastAsia="宋体" w:cs="宋体"/>
          <w:sz w:val="24"/>
          <w:szCs w:val="24"/>
        </w:rPr>
        <w:t xml:space="preserve"> </w:t>
      </w:r>
    </w:p>
    <w:p w14:paraId="7C1AE53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十一、其他未尽事宜以招标文件为准。</w:t>
      </w:r>
    </w:p>
    <w:p w14:paraId="2ED8B4F1">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 xml:space="preserve">海氏海诺健康科技股份有限公司 </w:t>
      </w:r>
    </w:p>
    <w:p w14:paraId="4AA2577E">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2026年</w:t>
      </w:r>
      <w:r>
        <w:rPr>
          <w:rFonts w:hint="eastAsia" w:ascii="宋体" w:hAnsi="宋体" w:eastAsia="宋体"/>
          <w:sz w:val="24"/>
          <w:szCs w:val="24"/>
          <w:lang w:val="en-US" w:eastAsia="zh-CN"/>
        </w:rPr>
        <w:t>6</w:t>
      </w:r>
      <w:r>
        <w:rPr>
          <w:rFonts w:hint="eastAsia" w:ascii="宋体" w:hAnsi="宋体" w:eastAsia="宋体"/>
          <w:sz w:val="24"/>
          <w:szCs w:val="24"/>
        </w:rPr>
        <w:t>月</w:t>
      </w:r>
    </w:p>
    <w:sectPr>
      <w:headerReference r:id="rId5" w:type="first"/>
      <w:headerReference r:id="rId3" w:type="default"/>
      <w:footerReference r:id="rId6" w:type="default"/>
      <w:headerReference r:id="rId4" w:type="even"/>
      <w:pgSz w:w="11906" w:h="16838"/>
      <w:pgMar w:top="567" w:right="1701" w:bottom="567" w:left="170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18F7">
    <w:pPr>
      <w:pStyle w:val="5"/>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6542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0pt;height:0pt;width:414.6pt;z-index:251660288;mso-width-relative:page;mso-height-relative:page;" filled="f" stroked="t" coordsize="21600,21600" o:gfxdata="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LZo&#10;3dIAAAACAQAADwAAAAAAAAABACAAAAAiAAAAZHJzL2Rvd25yZXYueG1sUEsBAhQAFAAAAAgAh07i&#10;QJBBXxfvAQAAugMAAA4AAAAAAAAAAQAgAAAAIQEAAGRycy9lMm9Eb2MueG1sUEsFBgAAAAAGAAYA&#10;WQEAAIIFA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8E977">
    <w:pPr>
      <w:pStyle w:val="6"/>
      <w:rPr>
        <w:rFonts w:hint="eastAsia" w:ascii="黑体" w:hAnsi="黑体" w:eastAsia="黑体"/>
        <w:bCs/>
        <w:sz w:val="24"/>
        <w:szCs w:val="24"/>
      </w:rPr>
    </w:pP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r>
      <w:drawing>
        <wp:inline distT="0" distB="0" distL="0" distR="0">
          <wp:extent cx="108966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 xml:space="preserve"> 氏</w:t>
    </w:r>
    <w:r>
      <w:rPr>
        <w:rFonts w:hint="eastAsia" w:ascii="黑体" w:hAnsi="黑体" w:eastAsia="黑体"/>
        <w:b/>
        <w:sz w:val="24"/>
        <w:szCs w:val="24"/>
      </w:rPr>
      <w:t xml:space="preserve">  </w:t>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诺</w:t>
    </w:r>
    <w:r>
      <w:rPr>
        <w:rFonts w:hint="eastAsia" w:ascii="黑体" w:hAnsi="黑体" w:eastAsia="黑体"/>
        <w:b/>
        <w:sz w:val="24"/>
        <w:szCs w:val="24"/>
      </w:rPr>
      <w:t xml:space="preserve">  </w:t>
    </w:r>
    <w:r>
      <w:rPr>
        <w:rFonts w:ascii="黑体" w:hAnsi="黑体" w:eastAsia="黑体"/>
        <w:b/>
        <w:sz w:val="24"/>
        <w:szCs w:val="24"/>
      </w:rPr>
      <w:t>健</w:t>
    </w:r>
    <w:r>
      <w:rPr>
        <w:rFonts w:hint="eastAsia" w:ascii="黑体" w:hAnsi="黑体" w:eastAsia="黑体"/>
        <w:b/>
        <w:sz w:val="24"/>
        <w:szCs w:val="24"/>
      </w:rPr>
      <w:t xml:space="preserve">  </w:t>
    </w:r>
    <w:r>
      <w:rPr>
        <w:rFonts w:ascii="黑体" w:hAnsi="黑体" w:eastAsia="黑体"/>
        <w:b/>
        <w:sz w:val="24"/>
        <w:szCs w:val="24"/>
      </w:rPr>
      <w:t>康</w:t>
    </w:r>
    <w:r>
      <w:rPr>
        <w:rFonts w:hint="eastAsia" w:ascii="黑体" w:hAnsi="黑体" w:eastAsia="黑体"/>
        <w:b/>
        <w:sz w:val="24"/>
        <w:szCs w:val="24"/>
      </w:rPr>
      <w:t xml:space="preserve">  </w:t>
    </w:r>
    <w:r>
      <w:rPr>
        <w:rFonts w:ascii="黑体" w:hAnsi="黑体" w:eastAsia="黑体"/>
        <w:b/>
        <w:sz w:val="24"/>
        <w:szCs w:val="24"/>
      </w:rPr>
      <w:t>科</w:t>
    </w:r>
    <w:r>
      <w:rPr>
        <w:rFonts w:hint="eastAsia" w:ascii="黑体" w:hAnsi="黑体" w:eastAsia="黑体"/>
        <w:b/>
        <w:sz w:val="24"/>
        <w:szCs w:val="24"/>
      </w:rPr>
      <w:t xml:space="preserve">  </w:t>
    </w:r>
    <w:r>
      <w:rPr>
        <w:rFonts w:ascii="黑体" w:hAnsi="黑体" w:eastAsia="黑体"/>
        <w:b/>
        <w:sz w:val="24"/>
        <w:szCs w:val="24"/>
      </w:rPr>
      <w:t>技</w:t>
    </w:r>
    <w:r>
      <w:rPr>
        <w:rFonts w:hint="eastAsia" w:ascii="黑体" w:hAnsi="黑体" w:eastAsia="黑体"/>
        <w:b/>
        <w:sz w:val="24"/>
        <w:szCs w:val="24"/>
      </w:rPr>
      <w:t xml:space="preserve">  </w:t>
    </w:r>
    <w:r>
      <w:rPr>
        <w:rFonts w:ascii="黑体" w:hAnsi="黑体" w:eastAsia="黑体"/>
        <w:b/>
        <w:sz w:val="24"/>
        <w:szCs w:val="24"/>
      </w:rPr>
      <w:t>股</w:t>
    </w:r>
    <w:r>
      <w:rPr>
        <w:rFonts w:hint="eastAsia" w:ascii="黑体" w:hAnsi="黑体" w:eastAsia="黑体"/>
        <w:b/>
        <w:sz w:val="24"/>
        <w:szCs w:val="24"/>
      </w:rPr>
      <w:t xml:space="preserve">  </w:t>
    </w:r>
    <w:r>
      <w:rPr>
        <w:rFonts w:ascii="黑体" w:hAnsi="黑体" w:eastAsia="黑体"/>
        <w:b/>
        <w:sz w:val="24"/>
        <w:szCs w:val="24"/>
      </w:rPr>
      <w:t>份</w:t>
    </w:r>
    <w:r>
      <w:rPr>
        <w:rFonts w:hint="eastAsia" w:ascii="黑体" w:hAnsi="黑体" w:eastAsia="黑体"/>
        <w:b/>
        <w:sz w:val="24"/>
        <w:szCs w:val="24"/>
      </w:rPr>
      <w:t xml:space="preserve">  </w:t>
    </w:r>
    <w:r>
      <w:rPr>
        <w:rFonts w:ascii="黑体" w:hAnsi="黑体" w:eastAsia="黑体"/>
        <w:b/>
        <w:sz w:val="24"/>
        <w:szCs w:val="24"/>
      </w:rPr>
      <w:t>有</w:t>
    </w:r>
    <w:r>
      <w:rPr>
        <w:rFonts w:hint="eastAsia" w:ascii="黑体" w:hAnsi="黑体" w:eastAsia="黑体"/>
        <w:b/>
        <w:sz w:val="24"/>
        <w:szCs w:val="24"/>
      </w:rPr>
      <w:t xml:space="preserve">  </w:t>
    </w:r>
    <w:r>
      <w:rPr>
        <w:rFonts w:ascii="黑体" w:hAnsi="黑体" w:eastAsia="黑体"/>
        <w:b/>
        <w:sz w:val="24"/>
        <w:szCs w:val="24"/>
      </w:rPr>
      <w:t>限</w:t>
    </w:r>
    <w:r>
      <w:rPr>
        <w:rFonts w:hint="eastAsia" w:ascii="黑体" w:hAnsi="黑体" w:eastAsia="黑体"/>
        <w:b/>
        <w:sz w:val="24"/>
        <w:szCs w:val="24"/>
      </w:rPr>
      <w:t xml:space="preserve">  </w:t>
    </w:r>
    <w:r>
      <w:rPr>
        <w:rFonts w:ascii="黑体" w:hAnsi="黑体" w:eastAsia="黑体"/>
        <w:b/>
        <w:sz w:val="24"/>
        <w:szCs w:val="24"/>
      </w:rPr>
      <w:t>公</w:t>
    </w:r>
    <w:r>
      <w:rPr>
        <w:rFonts w:hint="eastAsia" w:ascii="黑体" w:hAnsi="黑体" w:eastAsia="黑体"/>
        <w:b/>
        <w:sz w:val="24"/>
        <w:szCs w:val="24"/>
      </w:rPr>
      <w:t xml:space="preserve">  </w:t>
    </w:r>
    <w:r>
      <w:rPr>
        <w:rFonts w:ascii="黑体" w:hAnsi="黑体" w:eastAsia="黑体"/>
        <w:b/>
        <w:sz w:val="24"/>
        <w:szCs w:val="24"/>
      </w:rPr>
      <w:t>司</w:t>
    </w:r>
  </w:p>
  <w:p w14:paraId="5561606F">
    <w:pPr>
      <w:pStyle w:val="6"/>
      <w:jc w:val="both"/>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26542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2.4pt;height:0pt;width:414.6pt;z-index:251659264;mso-width-relative:page;mso-height-relative:page;" filled="f" stroked="t" coordsize="21600,21600" o:gfxdata="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iA&#10;nmvSAAAABAEAAA8AAAAAAAAAAQAgAAAAIgAAAGRycy9kb3ducmV2LnhtbFBLAQIUABQAAAAIAIdO&#10;4kAwXxi+8AEAALsDAAAOAAAAAAAAAAEAIAAAACEBAABkcnMvZTJvRG9jLnhtbFBLBQYAAAAABgAG&#10;AFkBAACDBQAAAAA=&#10;">
              <v:fill on="f" focussize="0,0"/>
              <v:stroke weight="2pt" color="#4472C4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CB2B">
    <w:pPr>
      <w:pStyle w:val="6"/>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FF46">
    <w:pPr>
      <w:pStyle w:val="6"/>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79"/>
    <w:rsid w:val="00082216"/>
    <w:rsid w:val="00084568"/>
    <w:rsid w:val="00090792"/>
    <w:rsid w:val="000C174E"/>
    <w:rsid w:val="000C1E3D"/>
    <w:rsid w:val="00104EF6"/>
    <w:rsid w:val="00107289"/>
    <w:rsid w:val="00130B05"/>
    <w:rsid w:val="00175425"/>
    <w:rsid w:val="001C0162"/>
    <w:rsid w:val="002301C8"/>
    <w:rsid w:val="00252D57"/>
    <w:rsid w:val="002C6DAA"/>
    <w:rsid w:val="002E230C"/>
    <w:rsid w:val="002E4DB7"/>
    <w:rsid w:val="00367CDF"/>
    <w:rsid w:val="00396A77"/>
    <w:rsid w:val="003F7B79"/>
    <w:rsid w:val="004133C5"/>
    <w:rsid w:val="00433A34"/>
    <w:rsid w:val="0044161B"/>
    <w:rsid w:val="0046159D"/>
    <w:rsid w:val="0049767A"/>
    <w:rsid w:val="004A2AB7"/>
    <w:rsid w:val="004B3582"/>
    <w:rsid w:val="0051768A"/>
    <w:rsid w:val="00557468"/>
    <w:rsid w:val="00571D4D"/>
    <w:rsid w:val="005A16F3"/>
    <w:rsid w:val="005C3B89"/>
    <w:rsid w:val="005D69DD"/>
    <w:rsid w:val="00620C81"/>
    <w:rsid w:val="00634BEC"/>
    <w:rsid w:val="006452F3"/>
    <w:rsid w:val="0069016E"/>
    <w:rsid w:val="006D640E"/>
    <w:rsid w:val="0075652C"/>
    <w:rsid w:val="007F227E"/>
    <w:rsid w:val="00806931"/>
    <w:rsid w:val="00852A8D"/>
    <w:rsid w:val="00896437"/>
    <w:rsid w:val="008B3E7A"/>
    <w:rsid w:val="008C5E88"/>
    <w:rsid w:val="008D4D3A"/>
    <w:rsid w:val="00933EFF"/>
    <w:rsid w:val="00941382"/>
    <w:rsid w:val="00946656"/>
    <w:rsid w:val="00955EFC"/>
    <w:rsid w:val="009700B0"/>
    <w:rsid w:val="009800BB"/>
    <w:rsid w:val="009870A6"/>
    <w:rsid w:val="00987B9E"/>
    <w:rsid w:val="009928BA"/>
    <w:rsid w:val="009A7E84"/>
    <w:rsid w:val="009B34D1"/>
    <w:rsid w:val="009B4FF6"/>
    <w:rsid w:val="009D24C2"/>
    <w:rsid w:val="00A30F08"/>
    <w:rsid w:val="00A35CDE"/>
    <w:rsid w:val="00A37B65"/>
    <w:rsid w:val="00A425CA"/>
    <w:rsid w:val="00A54CB1"/>
    <w:rsid w:val="00A70376"/>
    <w:rsid w:val="00A77FC6"/>
    <w:rsid w:val="00A82822"/>
    <w:rsid w:val="00A94CE5"/>
    <w:rsid w:val="00B05518"/>
    <w:rsid w:val="00B266D7"/>
    <w:rsid w:val="00B32878"/>
    <w:rsid w:val="00B445A8"/>
    <w:rsid w:val="00B51288"/>
    <w:rsid w:val="00B652A3"/>
    <w:rsid w:val="00B90842"/>
    <w:rsid w:val="00BB0381"/>
    <w:rsid w:val="00C00075"/>
    <w:rsid w:val="00C14FFA"/>
    <w:rsid w:val="00C45AA1"/>
    <w:rsid w:val="00C461AC"/>
    <w:rsid w:val="00C46B5C"/>
    <w:rsid w:val="00C579DD"/>
    <w:rsid w:val="00CC4801"/>
    <w:rsid w:val="00CD7EDE"/>
    <w:rsid w:val="00CE7574"/>
    <w:rsid w:val="00DD39FB"/>
    <w:rsid w:val="00DE3897"/>
    <w:rsid w:val="00E11F98"/>
    <w:rsid w:val="00E30B52"/>
    <w:rsid w:val="00E506AC"/>
    <w:rsid w:val="00E616A8"/>
    <w:rsid w:val="00E87E98"/>
    <w:rsid w:val="00EB2068"/>
    <w:rsid w:val="00F54EE2"/>
    <w:rsid w:val="00F55EF2"/>
    <w:rsid w:val="00FB7E61"/>
    <w:rsid w:val="00FD635D"/>
    <w:rsid w:val="0AD9601C"/>
    <w:rsid w:val="1C733FD9"/>
    <w:rsid w:val="268C66BC"/>
    <w:rsid w:val="5A716DD6"/>
    <w:rsid w:val="60607F66"/>
    <w:rsid w:val="76EE028D"/>
    <w:rsid w:val="7A6D2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rPr>
      <w:rFonts w:ascii="等线" w:hAnsi="等线" w:eastAsia="等线" w:cs="Times New Roman"/>
      <w:szCs w:val="20"/>
    </w:rPr>
  </w:style>
  <w:style w:type="paragraph" w:styleId="3">
    <w:name w:val="Body Text"/>
    <w:basedOn w:val="1"/>
    <w:link w:val="16"/>
    <w:autoRedefine/>
    <w:unhideWhenUsed/>
    <w:qFormat/>
    <w:uiPriority w:val="0"/>
    <w:pPr>
      <w:widowControl/>
      <w:spacing w:before="180" w:after="180"/>
      <w:jc w:val="left"/>
    </w:pPr>
    <w:rPr>
      <w:kern w:val="0"/>
      <w:sz w:val="24"/>
      <w:szCs w:val="24"/>
      <w:lang w:eastAsia="en-US"/>
    </w:rPr>
  </w:style>
  <w:style w:type="paragraph" w:styleId="4">
    <w:name w:val="Balloon Text"/>
    <w:basedOn w:val="1"/>
    <w:link w:val="22"/>
    <w:qFormat/>
    <w:uiPriority w:val="0"/>
    <w:rPr>
      <w:rFonts w:ascii="Times New Roman" w:hAnsi="Times New Roman" w:eastAsia="宋体" w:cs="Times New Roman"/>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tabs>
        <w:tab w:val="center" w:pos="4153"/>
        <w:tab w:val="right" w:pos="8306"/>
      </w:tabs>
      <w:snapToGrid w:val="0"/>
      <w:jc w:val="center"/>
    </w:pPr>
    <w:rPr>
      <w:sz w:val="18"/>
      <w:szCs w:val="18"/>
    </w:rPr>
  </w:style>
  <w:style w:type="paragraph" w:styleId="7">
    <w:name w:val="toc 1"/>
    <w:basedOn w:val="1"/>
    <w:next w:val="1"/>
    <w:qFormat/>
    <w:uiPriority w:val="39"/>
    <w:rPr>
      <w:rFonts w:ascii="等线" w:hAnsi="等线" w:eastAsia="等线" w:cs="Times New Roman"/>
    </w:rPr>
  </w:style>
  <w:style w:type="paragraph" w:styleId="8">
    <w:name w:val="Normal (Web)"/>
    <w:basedOn w:val="1"/>
    <w:semiHidden/>
    <w:unhideWhenUsed/>
    <w:qFormat/>
    <w:uiPriority w:val="99"/>
    <w:rPr>
      <w:rFonts w:ascii="Times New Roman" w:hAnsi="Times New Roman" w:cs="Times New Roman"/>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正文文本 字符"/>
    <w:basedOn w:val="11"/>
    <w:link w:val="3"/>
    <w:qFormat/>
    <w:uiPriority w:val="0"/>
    <w:rPr>
      <w:kern w:val="0"/>
      <w:sz w:val="24"/>
      <w:szCs w:val="24"/>
      <w:lang w:eastAsia="en-US"/>
    </w:rPr>
  </w:style>
  <w:style w:type="paragraph" w:styleId="17">
    <w:name w:val="List Paragraph"/>
    <w:basedOn w:val="1"/>
    <w:autoRedefine/>
    <w:qFormat/>
    <w:uiPriority w:val="99"/>
    <w:pPr>
      <w:ind w:firstLine="420" w:firstLineChars="200"/>
    </w:pPr>
    <w:rPr>
      <w:rFonts w:ascii="等线" w:hAnsi="等线" w:eastAsia="等线" w:cs="Times New Roman"/>
    </w:rPr>
  </w:style>
  <w:style w:type="paragraph" w:customStyle="1" w:styleId="18">
    <w:name w:val="p0"/>
    <w:basedOn w:val="1"/>
    <w:autoRedefine/>
    <w:qFormat/>
    <w:uiPriority w:val="0"/>
    <w:pPr>
      <w:widowControl/>
    </w:pPr>
    <w:rPr>
      <w:rFonts w:ascii="等线" w:hAnsi="等线" w:eastAsia="等线" w:cs="Times New Roman"/>
      <w:kern w:val="0"/>
      <w:szCs w:val="21"/>
    </w:rPr>
  </w:style>
  <w:style w:type="paragraph" w:customStyle="1" w:styleId="19">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0">
    <w:name w:val="First Paragraph"/>
    <w:basedOn w:val="3"/>
    <w:next w:val="3"/>
    <w:autoRedefine/>
    <w:qFormat/>
    <w:uiPriority w:val="0"/>
  </w:style>
  <w:style w:type="character" w:customStyle="1" w:styleId="21">
    <w:name w:val="未处理的提及1"/>
    <w:basedOn w:val="11"/>
    <w:autoRedefine/>
    <w:semiHidden/>
    <w:unhideWhenUsed/>
    <w:qFormat/>
    <w:uiPriority w:val="99"/>
    <w:rPr>
      <w:color w:val="605E5C"/>
      <w:shd w:val="clear" w:color="auto" w:fill="E1DFDD"/>
    </w:rPr>
  </w:style>
  <w:style w:type="character" w:customStyle="1" w:styleId="22">
    <w:name w:val="批注框文本 字符"/>
    <w:basedOn w:val="11"/>
    <w:link w:val="4"/>
    <w:qFormat/>
    <w:uiPriority w:val="0"/>
    <w:rPr>
      <w:rFonts w:ascii="Times New Roman" w:hAnsi="Times New Roman" w:eastAsia="宋体" w:cs="Times New Roman"/>
      <w:kern w:val="2"/>
      <w:sz w:val="18"/>
      <w:szCs w:val="18"/>
    </w:rPr>
  </w:style>
  <w:style w:type="character" w:customStyle="1" w:styleId="23">
    <w:name w:val="so-ask-best"/>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618</Words>
  <Characters>687</Characters>
  <Lines>16</Lines>
  <Paragraphs>25</Paragraphs>
  <TotalTime>6</TotalTime>
  <ScaleCrop>false</ScaleCrop>
  <LinksUpToDate>false</LinksUpToDate>
  <CharactersWithSpaces>712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2024-04-12T06:08:00Z</dcterms:created>
  <dc:creator>Leo Lee</dc:creator>
  <cp:lastModifiedBy>战国栋</cp:lastModifiedBy>
  <cp:lastPrinted>2025-11-12T08:45:00Z</cp:lastPrinted>
  <dcterms:modified xsi:type="dcterms:W3CDTF">2026-06-26T06:46:21Z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eyJoZGlkIjoiMTVmMWUwM2Y2ZTNjMzI4YTdmZjA0MzkyOTQ1MmY0ZjYiLCJ1c2VySWQiOiIxNjkxMTI3MzI4In0=</vt:lpwstr>
  </property>
  <property fmtid="{D5CDD505-2E9C-101B-9397-08002B2CF9AE}" pid="3" name="KSOProductBuildVer">
    <vt:lpwstr>2052-12.1.0.26375</vt:lpwstr>
  </property>
  <property fmtid="{D5CDD505-2E9C-101B-9397-08002B2CF9AE}" pid="4" name="ICV">
    <vt:lpwstr>D1ACAF8AF2E5411E8B6AF94FB8A1FB0E_12</vt:lpwstr>
  </property>
</Properties>
</file>